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6175" w:rsidRDefault="00B84F39" w:rsidP="00B84F39">
      <w:pPr>
        <w:jc w:val="center"/>
        <w:rPr>
          <w:sz w:val="22"/>
          <w:szCs w:val="22"/>
        </w:rPr>
      </w:pPr>
      <w:r w:rsidRPr="00B84F39">
        <w:rPr>
          <w:b/>
          <w:sz w:val="22"/>
          <w:szCs w:val="22"/>
        </w:rPr>
        <w:t>Table 5.2</w:t>
      </w:r>
      <w:r w:rsidRPr="00B84F39">
        <w:rPr>
          <w:sz w:val="22"/>
          <w:szCs w:val="22"/>
        </w:rPr>
        <w:t xml:space="preserve"> Specification of subjects</w:t>
      </w:r>
    </w:p>
    <w:p w:rsidR="000A01DC" w:rsidRDefault="000A01DC" w:rsidP="00B84F39">
      <w:pPr>
        <w:jc w:val="center"/>
        <w:rPr>
          <w:sz w:val="22"/>
          <w:szCs w:val="22"/>
        </w:rPr>
      </w:pPr>
    </w:p>
    <w:tbl>
      <w:tblPr>
        <w:tblStyle w:val="a0"/>
        <w:tblW w:w="1044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4497"/>
        <w:gridCol w:w="1985"/>
        <w:gridCol w:w="992"/>
        <w:gridCol w:w="1480"/>
        <w:gridCol w:w="1491"/>
      </w:tblGrid>
      <w:tr w:rsidR="00246175" w:rsidTr="000A01DC">
        <w:trPr>
          <w:cantSplit/>
          <w:trHeight w:val="185"/>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rsidP="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Study program: </w:t>
            </w:r>
            <w:proofErr w:type="spellStart"/>
            <w:r w:rsidRPr="000A01DC">
              <w:rPr>
                <w:color w:val="000000"/>
                <w:sz w:val="20"/>
                <w:szCs w:val="20"/>
              </w:rPr>
              <w:t>Еconomics</w:t>
            </w:r>
            <w:proofErr w:type="spellEnd"/>
          </w:p>
        </w:tc>
      </w:tr>
      <w:tr w:rsidR="00246175" w:rsidTr="000A01DC">
        <w:trPr>
          <w:cantSplit/>
          <w:trHeight w:val="230"/>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rsidP="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Name of the subject: </w:t>
            </w:r>
            <w:r w:rsidRPr="000A01DC">
              <w:rPr>
                <w:b/>
                <w:color w:val="000000"/>
                <w:sz w:val="20"/>
                <w:szCs w:val="20"/>
              </w:rPr>
              <w:t>Labor Economics</w:t>
            </w:r>
          </w:p>
        </w:tc>
      </w:tr>
      <w:tr w:rsidR="00246175" w:rsidTr="000A01DC">
        <w:trPr>
          <w:cantSplit/>
          <w:trHeight w:val="195"/>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rsidP="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Teacher(s): </w:t>
            </w:r>
            <w:r w:rsidR="000A01DC">
              <w:rPr>
                <w:color w:val="000000"/>
                <w:sz w:val="20"/>
                <w:szCs w:val="20"/>
              </w:rPr>
              <w:t xml:space="preserve">Prof. </w:t>
            </w:r>
            <w:proofErr w:type="spellStart"/>
            <w:r w:rsidR="000A01DC">
              <w:rPr>
                <w:color w:val="000000"/>
                <w:sz w:val="20"/>
                <w:szCs w:val="20"/>
              </w:rPr>
              <w:t>Nataša</w:t>
            </w:r>
            <w:proofErr w:type="spellEnd"/>
            <w:r w:rsidR="000A01DC">
              <w:rPr>
                <w:color w:val="000000"/>
                <w:sz w:val="20"/>
                <w:szCs w:val="20"/>
              </w:rPr>
              <w:t xml:space="preserve"> </w:t>
            </w:r>
            <w:proofErr w:type="spellStart"/>
            <w:r>
              <w:rPr>
                <w:color w:val="000000"/>
                <w:sz w:val="20"/>
                <w:szCs w:val="20"/>
              </w:rPr>
              <w:t>Golubović</w:t>
            </w:r>
            <w:proofErr w:type="spellEnd"/>
            <w:r w:rsidR="000A01DC">
              <w:rPr>
                <w:color w:val="000000"/>
                <w:sz w:val="20"/>
                <w:szCs w:val="20"/>
              </w:rPr>
              <w:t>, PhD</w:t>
            </w:r>
            <w:r>
              <w:rPr>
                <w:color w:val="000000"/>
                <w:sz w:val="20"/>
                <w:szCs w:val="20"/>
              </w:rPr>
              <w:t xml:space="preserve">, </w:t>
            </w:r>
            <w:r w:rsidR="000A01DC">
              <w:rPr>
                <w:color w:val="000000"/>
                <w:sz w:val="20"/>
                <w:szCs w:val="20"/>
              </w:rPr>
              <w:t xml:space="preserve">Prof. </w:t>
            </w:r>
            <w:proofErr w:type="spellStart"/>
            <w:r w:rsidR="000A01DC">
              <w:rPr>
                <w:color w:val="000000"/>
                <w:sz w:val="20"/>
                <w:szCs w:val="20"/>
              </w:rPr>
              <w:t>Marija</w:t>
            </w:r>
            <w:proofErr w:type="spellEnd"/>
            <w:r w:rsidR="000A01DC">
              <w:rPr>
                <w:color w:val="000000"/>
                <w:sz w:val="20"/>
                <w:szCs w:val="20"/>
              </w:rPr>
              <w:t xml:space="preserve"> </w:t>
            </w:r>
            <w:proofErr w:type="spellStart"/>
            <w:r>
              <w:rPr>
                <w:color w:val="000000"/>
                <w:sz w:val="20"/>
                <w:szCs w:val="20"/>
              </w:rPr>
              <w:t>Džunić</w:t>
            </w:r>
            <w:proofErr w:type="spellEnd"/>
            <w:r w:rsidR="000A01DC">
              <w:rPr>
                <w:color w:val="000000"/>
                <w:sz w:val="20"/>
                <w:szCs w:val="20"/>
              </w:rPr>
              <w:t>, PhD</w:t>
            </w:r>
          </w:p>
        </w:tc>
      </w:tr>
      <w:tr w:rsidR="00246175" w:rsidTr="000A01DC">
        <w:trPr>
          <w:cantSplit/>
          <w:trHeight w:val="158"/>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rsidP="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Status of the subject:</w:t>
            </w:r>
            <w:r>
              <w:rPr>
                <w:color w:val="000000"/>
                <w:sz w:val="20"/>
                <w:szCs w:val="20"/>
              </w:rPr>
              <w:t xml:space="preserve"> elective </w:t>
            </w:r>
            <w:r w:rsidR="000A01DC">
              <w:rPr>
                <w:color w:val="000000"/>
                <w:sz w:val="20"/>
                <w:szCs w:val="20"/>
              </w:rPr>
              <w:t>at the</w:t>
            </w:r>
            <w:r>
              <w:rPr>
                <w:color w:val="000000"/>
                <w:sz w:val="20"/>
                <w:szCs w:val="20"/>
              </w:rPr>
              <w:t xml:space="preserve"> modules </w:t>
            </w:r>
            <w:r w:rsidR="000A01DC">
              <w:rPr>
                <w:color w:val="000000"/>
                <w:sz w:val="20"/>
                <w:szCs w:val="20"/>
              </w:rPr>
              <w:t xml:space="preserve">General </w:t>
            </w:r>
            <w:r>
              <w:rPr>
                <w:color w:val="000000"/>
                <w:sz w:val="20"/>
                <w:szCs w:val="20"/>
              </w:rPr>
              <w:t>Economics and Tourism Management</w:t>
            </w:r>
          </w:p>
        </w:tc>
      </w:tr>
      <w:tr w:rsidR="00246175" w:rsidTr="000A01DC">
        <w:trPr>
          <w:cantSplit/>
          <w:trHeight w:val="140"/>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rsidP="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Number of ECTS credits: </w:t>
            </w:r>
            <w:r w:rsidRPr="000A01DC">
              <w:rPr>
                <w:color w:val="000000"/>
                <w:sz w:val="20"/>
                <w:szCs w:val="20"/>
              </w:rPr>
              <w:t>5</w:t>
            </w:r>
          </w:p>
        </w:tc>
      </w:tr>
      <w:tr w:rsidR="00246175" w:rsidTr="000A01DC">
        <w:trPr>
          <w:cantSplit/>
          <w:trHeight w:val="222"/>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Conditions: </w:t>
            </w:r>
            <w:r>
              <w:rPr>
                <w:color w:val="000000"/>
                <w:sz w:val="20"/>
                <w:szCs w:val="20"/>
              </w:rPr>
              <w:t>Completed undergraduate academic studies and enrolled in master's studies</w:t>
            </w:r>
          </w:p>
        </w:tc>
      </w:tr>
      <w:tr w:rsidR="00246175" w:rsidTr="000A01DC">
        <w:trPr>
          <w:cantSplit/>
          <w:trHeight w:val="1571"/>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A01DC" w:rsidRDefault="00B84F39" w:rsidP="00B84F39">
            <w:pPr>
              <w:tabs>
                <w:tab w:val="left" w:pos="567"/>
              </w:tabs>
              <w:jc w:val="both"/>
              <w:rPr>
                <w:b/>
                <w:sz w:val="20"/>
                <w:szCs w:val="20"/>
              </w:rPr>
            </w:pPr>
            <w:r>
              <w:rPr>
                <w:b/>
                <w:sz w:val="20"/>
                <w:szCs w:val="20"/>
              </w:rPr>
              <w:t xml:space="preserve">Subject goal </w:t>
            </w:r>
          </w:p>
          <w:p w:rsidR="00246175" w:rsidRDefault="00B84F39" w:rsidP="00B84F39">
            <w:pPr>
              <w:tabs>
                <w:tab w:val="left" w:pos="567"/>
              </w:tabs>
              <w:jc w:val="both"/>
            </w:pPr>
            <w:r>
              <w:rPr>
                <w:sz w:val="20"/>
                <w:szCs w:val="20"/>
              </w:rPr>
              <w:t>Introduction to the institutions and basic principles of the functioning of the labor market. Acquisition of knowledge about the interdependence between the labor market and other parts of the economy and society. Understanding the market process of wage determination through the interaction of labor supply and demand. Analyzing the impact of labor market imperfections and government policies on wages, work incentives and employment. Exploration of the impact of labor market regulation on the efficiency of enterprises and the economy. Understanding the causes of unemployment and measures for its reduction. Exploring the impact of unions on labor market outcomes.</w:t>
            </w:r>
          </w:p>
        </w:tc>
      </w:tr>
      <w:tr w:rsidR="00246175" w:rsidTr="000A01DC">
        <w:trPr>
          <w:cantSplit/>
          <w:trHeight w:val="1400"/>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tabs>
                <w:tab w:val="left" w:pos="567"/>
              </w:tabs>
              <w:spacing w:after="60"/>
              <w:rPr>
                <w:b/>
                <w:sz w:val="20"/>
                <w:szCs w:val="20"/>
              </w:rPr>
            </w:pPr>
            <w:r>
              <w:rPr>
                <w:b/>
                <w:sz w:val="20"/>
                <w:szCs w:val="20"/>
              </w:rPr>
              <w:t xml:space="preserve">Outcome of the subject </w:t>
            </w:r>
          </w:p>
          <w:p w:rsidR="00246175" w:rsidRDefault="00B84F39" w:rsidP="00B84F39">
            <w:pPr>
              <w:tabs>
                <w:tab w:val="left" w:pos="567"/>
              </w:tabs>
              <w:jc w:val="both"/>
              <w:rPr>
                <w:sz w:val="20"/>
                <w:szCs w:val="20"/>
              </w:rPr>
            </w:pPr>
            <w:r>
              <w:rPr>
                <w:sz w:val="20"/>
                <w:szCs w:val="20"/>
              </w:rPr>
              <w:t>Upon completion of the course the student is able to: use economic-theoretical tools for modeling and analyzing specific problems in the labor market; combine theoretical models and empirical facts in analyzing issues related to employment, unemployment, and wages; independently assess and make decisions in the labor market, either as subjects of individual labor supply or as potential employers; apply acquired knowledge in decision-making as potential creators of economic policy, employment policy, or creators of labor market policy.</w:t>
            </w:r>
          </w:p>
        </w:tc>
      </w:tr>
      <w:tr w:rsidR="00246175" w:rsidTr="000A01DC">
        <w:trPr>
          <w:cantSplit/>
          <w:trHeight w:val="2239"/>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tabs>
                <w:tab w:val="left" w:pos="567"/>
              </w:tabs>
              <w:spacing w:after="60"/>
              <w:rPr>
                <w:b/>
                <w:sz w:val="20"/>
                <w:szCs w:val="20"/>
              </w:rPr>
            </w:pPr>
            <w:r>
              <w:rPr>
                <w:b/>
                <w:sz w:val="20"/>
                <w:szCs w:val="20"/>
              </w:rPr>
              <w:t>Subject content</w:t>
            </w:r>
          </w:p>
          <w:p w:rsidR="00246175" w:rsidRPr="000A01DC" w:rsidRDefault="00B84F39" w:rsidP="000A01DC">
            <w:pPr>
              <w:pBdr>
                <w:top w:val="nil"/>
                <w:left w:val="nil"/>
                <w:bottom w:val="nil"/>
                <w:right w:val="nil"/>
                <w:between w:val="nil"/>
              </w:pBdr>
              <w:tabs>
                <w:tab w:val="left" w:pos="567"/>
              </w:tabs>
              <w:spacing w:after="60"/>
              <w:rPr>
                <w:i/>
                <w:color w:val="000000"/>
                <w:sz w:val="20"/>
                <w:szCs w:val="20"/>
              </w:rPr>
            </w:pPr>
            <w:r w:rsidRPr="000A01DC">
              <w:rPr>
                <w:i/>
                <w:color w:val="000000"/>
                <w:sz w:val="20"/>
                <w:szCs w:val="20"/>
              </w:rPr>
              <w:t xml:space="preserve">Theoretical </w:t>
            </w:r>
            <w:r w:rsidR="000A01DC" w:rsidRPr="000A01DC">
              <w:rPr>
                <w:i/>
                <w:color w:val="000000"/>
                <w:sz w:val="20"/>
                <w:szCs w:val="20"/>
              </w:rPr>
              <w:t>teaching</w:t>
            </w:r>
          </w:p>
          <w:p w:rsidR="00246175" w:rsidRDefault="00B84F39">
            <w:pPr>
              <w:pBdr>
                <w:top w:val="nil"/>
                <w:left w:val="nil"/>
                <w:bottom w:val="nil"/>
                <w:right w:val="nil"/>
                <w:between w:val="nil"/>
              </w:pBdr>
              <w:tabs>
                <w:tab w:val="left" w:pos="567"/>
              </w:tabs>
              <w:jc w:val="both"/>
              <w:rPr>
                <w:color w:val="000000"/>
                <w:sz w:val="20"/>
                <w:szCs w:val="20"/>
              </w:rPr>
            </w:pPr>
            <w:r>
              <w:rPr>
                <w:color w:val="000000"/>
                <w:sz w:val="20"/>
                <w:szCs w:val="20"/>
              </w:rPr>
              <w:t>The course emphasizes understanding the functioning of the labor market by exploring the complex relationships between workers and employers on the one side;</w:t>
            </w:r>
            <w:r>
              <w:t xml:space="preserve"> </w:t>
            </w:r>
            <w:r>
              <w:rPr>
                <w:sz w:val="20"/>
                <w:szCs w:val="20"/>
              </w:rPr>
              <w:t xml:space="preserve">and </w:t>
            </w:r>
            <w:r>
              <w:rPr>
                <w:color w:val="000000"/>
                <w:sz w:val="20"/>
                <w:szCs w:val="20"/>
              </w:rPr>
              <w:t xml:space="preserve">wages, prices, and profits on the other. It examines how workers and firms make decisions in the labor market. It also analyzes the behavior of employers and workers and their reactions to changes in government policy. The course explores hot the state can influence the set of alternatives available to workers and firms by changing the “rules of the game”. </w:t>
            </w:r>
            <w:r>
              <w:rPr>
                <w:sz w:val="20"/>
                <w:szCs w:val="20"/>
              </w:rPr>
              <w:t>Understanding labor market functioning</w:t>
            </w:r>
            <w:r>
              <w:rPr>
                <w:color w:val="000000"/>
                <w:sz w:val="20"/>
                <w:szCs w:val="20"/>
              </w:rPr>
              <w:t xml:space="preserve"> requires the establishment of an adequate theoretical framework, whose empirical implications can be verified through real-world data. This subject is designed to address both theoretical and practical issues related to the labor market. The following topics are covered: labor supply and demand, human capital, wage determination, employment and unemployment, the role of the state in the labor market, the role of unions, labor market policy.</w:t>
            </w:r>
          </w:p>
          <w:p w:rsidR="00246175" w:rsidRPr="000A01DC" w:rsidRDefault="00B84F39" w:rsidP="000A01DC">
            <w:pPr>
              <w:pBdr>
                <w:top w:val="nil"/>
                <w:left w:val="nil"/>
                <w:bottom w:val="nil"/>
                <w:right w:val="nil"/>
                <w:between w:val="nil"/>
              </w:pBdr>
              <w:tabs>
                <w:tab w:val="left" w:pos="567"/>
              </w:tabs>
              <w:spacing w:before="60" w:after="60"/>
              <w:rPr>
                <w:i/>
                <w:color w:val="000000"/>
                <w:sz w:val="20"/>
                <w:szCs w:val="20"/>
              </w:rPr>
            </w:pPr>
            <w:r w:rsidRPr="000A01DC">
              <w:rPr>
                <w:i/>
                <w:color w:val="000000"/>
                <w:sz w:val="20"/>
                <w:szCs w:val="20"/>
              </w:rPr>
              <w:t xml:space="preserve">Practical </w:t>
            </w:r>
            <w:r w:rsidR="000A01DC" w:rsidRPr="000A01DC">
              <w:rPr>
                <w:i/>
                <w:color w:val="000000"/>
                <w:sz w:val="20"/>
                <w:szCs w:val="20"/>
              </w:rPr>
              <w:t>teaching</w:t>
            </w:r>
          </w:p>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Research</w:t>
            </w:r>
            <w:r>
              <w:rPr>
                <w:sz w:val="20"/>
                <w:szCs w:val="20"/>
              </w:rPr>
              <w:t>-based study</w:t>
            </w:r>
            <w:r>
              <w:rPr>
                <w:color w:val="000000"/>
                <w:sz w:val="20"/>
                <w:szCs w:val="20"/>
              </w:rPr>
              <w:t>, discussions, solving theoretical and practical problems, data processing and analysis and other forms of teaching.</w:t>
            </w:r>
          </w:p>
        </w:tc>
      </w:tr>
      <w:tr w:rsidR="00246175" w:rsidTr="000A01DC">
        <w:trPr>
          <w:cantSplit/>
          <w:trHeight w:val="782"/>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tabs>
                <w:tab w:val="left" w:pos="567"/>
              </w:tabs>
              <w:spacing w:after="60"/>
              <w:rPr>
                <w:b/>
                <w:sz w:val="20"/>
                <w:szCs w:val="20"/>
              </w:rPr>
            </w:pPr>
            <w:r>
              <w:rPr>
                <w:b/>
                <w:sz w:val="20"/>
                <w:szCs w:val="20"/>
              </w:rPr>
              <w:t xml:space="preserve">Literature </w:t>
            </w:r>
          </w:p>
          <w:p w:rsidR="00246175" w:rsidRDefault="00B84F39">
            <w:pPr>
              <w:tabs>
                <w:tab w:val="left" w:pos="567"/>
              </w:tabs>
              <w:spacing w:after="60"/>
              <w:rPr>
                <w:sz w:val="20"/>
                <w:szCs w:val="20"/>
              </w:rPr>
            </w:pPr>
            <w:proofErr w:type="spellStart"/>
            <w:r>
              <w:rPr>
                <w:sz w:val="20"/>
                <w:szCs w:val="20"/>
              </w:rPr>
              <w:t>McConell</w:t>
            </w:r>
            <w:proofErr w:type="spellEnd"/>
            <w:r>
              <w:rPr>
                <w:sz w:val="20"/>
                <w:szCs w:val="20"/>
              </w:rPr>
              <w:t>, C.R, Brue, S.L., Macpherson, D.A (2010). Contemporary Labor Economics, 9</w:t>
            </w:r>
            <w:r>
              <w:rPr>
                <w:sz w:val="20"/>
                <w:szCs w:val="20"/>
                <w:vertAlign w:val="superscript"/>
              </w:rPr>
              <w:t>th</w:t>
            </w:r>
            <w:r>
              <w:rPr>
                <w:sz w:val="20"/>
                <w:szCs w:val="20"/>
              </w:rPr>
              <w:t xml:space="preserve"> edition. McGraw-Hill.</w:t>
            </w:r>
            <w:r>
              <w:rPr>
                <w:sz w:val="20"/>
                <w:szCs w:val="20"/>
              </w:rPr>
              <w:tab/>
            </w:r>
          </w:p>
          <w:p w:rsidR="00246175" w:rsidRDefault="00B84F39">
            <w:pPr>
              <w:spacing w:after="60"/>
              <w:rPr>
                <w:sz w:val="20"/>
                <w:szCs w:val="20"/>
              </w:rPr>
            </w:pPr>
            <w:proofErr w:type="spellStart"/>
            <w:r>
              <w:rPr>
                <w:sz w:val="20"/>
                <w:szCs w:val="20"/>
              </w:rPr>
              <w:t>Borjas</w:t>
            </w:r>
            <w:proofErr w:type="spellEnd"/>
            <w:r>
              <w:rPr>
                <w:sz w:val="20"/>
                <w:szCs w:val="20"/>
              </w:rPr>
              <w:t xml:space="preserve">, G.J. (2013). </w:t>
            </w:r>
            <w:proofErr w:type="spellStart"/>
            <w:r>
              <w:rPr>
                <w:i/>
                <w:sz w:val="20"/>
                <w:szCs w:val="20"/>
              </w:rPr>
              <w:t>Labour</w:t>
            </w:r>
            <w:proofErr w:type="spellEnd"/>
            <w:r>
              <w:rPr>
                <w:i/>
                <w:sz w:val="20"/>
                <w:szCs w:val="20"/>
              </w:rPr>
              <w:t xml:space="preserve"> Economics</w:t>
            </w:r>
            <w:r>
              <w:rPr>
                <w:sz w:val="20"/>
                <w:szCs w:val="20"/>
              </w:rPr>
              <w:t>, 6</w:t>
            </w:r>
            <w:r>
              <w:rPr>
                <w:sz w:val="20"/>
                <w:szCs w:val="20"/>
                <w:vertAlign w:val="superscript"/>
              </w:rPr>
              <w:t>th</w:t>
            </w:r>
            <w:r>
              <w:rPr>
                <w:sz w:val="20"/>
                <w:szCs w:val="20"/>
              </w:rPr>
              <w:t xml:space="preserve"> edition. Mc Graw-Hill Irwin.</w:t>
            </w:r>
          </w:p>
          <w:p w:rsidR="00246175" w:rsidRDefault="00B84F39">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60"/>
              <w:ind w:right="115"/>
              <w:rPr>
                <w:sz w:val="20"/>
                <w:szCs w:val="20"/>
              </w:rPr>
            </w:pPr>
            <w:r>
              <w:rPr>
                <w:sz w:val="20"/>
                <w:szCs w:val="20"/>
              </w:rPr>
              <w:t>Ehrenberg, R.G, Smith, R.S. (2012). </w:t>
            </w:r>
            <w:r>
              <w:rPr>
                <w:i/>
                <w:sz w:val="20"/>
                <w:szCs w:val="20"/>
              </w:rPr>
              <w:t>Modern Labor Economics: Theory and Public Policy,</w:t>
            </w:r>
            <w:r>
              <w:rPr>
                <w:sz w:val="20"/>
                <w:szCs w:val="20"/>
              </w:rPr>
              <w:t> Prentice Hall, 11</w:t>
            </w:r>
            <w:r>
              <w:rPr>
                <w:sz w:val="20"/>
                <w:szCs w:val="20"/>
                <w:vertAlign w:val="superscript"/>
              </w:rPr>
              <w:t>th</w:t>
            </w:r>
            <w:r>
              <w:rPr>
                <w:sz w:val="20"/>
                <w:szCs w:val="20"/>
              </w:rPr>
              <w:t>Edition.</w:t>
            </w:r>
          </w:p>
          <w:p w:rsidR="00246175" w:rsidRDefault="00B84F39" w:rsidP="00B92BDC">
            <w:pPr>
              <w:widowControl w:val="0"/>
              <w:pBdr>
                <w:top w:val="nil"/>
                <w:left w:val="nil"/>
                <w:bottom w:val="nil"/>
                <w:right w:val="nil"/>
                <w:between w:val="nil"/>
              </w:pBdr>
              <w:jc w:val="both"/>
              <w:rPr>
                <w:b/>
                <w:sz w:val="20"/>
                <w:szCs w:val="20"/>
              </w:rPr>
            </w:pPr>
            <w:r>
              <w:rPr>
                <w:color w:val="000000"/>
                <w:sz w:val="20"/>
                <w:szCs w:val="20"/>
              </w:rPr>
              <w:t xml:space="preserve">Acemoglu, D., &amp; Autor, D. (2011). Lectures in Labor Economics. Lecture notes, Massachusetts Institute of Technology. </w:t>
            </w:r>
            <w:r>
              <w:rPr>
                <w:sz w:val="20"/>
                <w:szCs w:val="20"/>
              </w:rPr>
              <w:t>Available at:</w:t>
            </w:r>
            <w:r w:rsidR="00B92BDC">
              <w:rPr>
                <w:sz w:val="20"/>
                <w:szCs w:val="20"/>
              </w:rPr>
              <w:t xml:space="preserve"> </w:t>
            </w:r>
            <w:bookmarkStart w:id="0" w:name="_GoBack"/>
            <w:bookmarkEnd w:id="0"/>
            <w:r w:rsidR="00B92BDC">
              <w:fldChar w:fldCharType="begin"/>
            </w:r>
            <w:r w:rsidR="00B92BDC">
              <w:instrText xml:space="preserve"> HYPERLINK "https://economics.mit.edu/sites/default/files/inline-files/Lectures%20in%20Labor%20Economics.pdf" \h </w:instrText>
            </w:r>
            <w:r w:rsidR="00B92BDC">
              <w:fldChar w:fldCharType="separate"/>
            </w:r>
            <w:r>
              <w:rPr>
                <w:sz w:val="20"/>
                <w:szCs w:val="20"/>
                <w:u w:val="single"/>
              </w:rPr>
              <w:t>https://economics.mit.edu/sites/default/files/inline-files/Lectures%20in%20Labor%20Economics.pdf</w:t>
            </w:r>
            <w:r w:rsidR="00B92BDC">
              <w:rPr>
                <w:sz w:val="20"/>
                <w:szCs w:val="20"/>
                <w:u w:val="single"/>
              </w:rPr>
              <w:fldChar w:fldCharType="end"/>
            </w:r>
          </w:p>
        </w:tc>
      </w:tr>
      <w:tr w:rsidR="00246175" w:rsidTr="000A01DC">
        <w:trPr>
          <w:cantSplit/>
          <w:trHeight w:val="234"/>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Theoretical teaching: </w:t>
            </w:r>
            <w:r>
              <w:rPr>
                <w:color w:val="000000"/>
                <w:sz w:val="20"/>
                <w:szCs w:val="20"/>
              </w:rPr>
              <w:t>2</w:t>
            </w:r>
          </w:p>
        </w:tc>
        <w:tc>
          <w:tcPr>
            <w:tcW w:w="29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 xml:space="preserve">Practical teaching: </w:t>
            </w:r>
            <w:r>
              <w:rPr>
                <w:color w:val="000000"/>
                <w:sz w:val="20"/>
                <w:szCs w:val="20"/>
              </w:rPr>
              <w:t>2</w:t>
            </w:r>
          </w:p>
        </w:tc>
      </w:tr>
      <w:tr w:rsidR="00246175" w:rsidTr="000A01DC">
        <w:trPr>
          <w:cantSplit/>
          <w:trHeight w:val="230"/>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Method of carrying out the teaching:</w:t>
            </w:r>
            <w:r>
              <w:rPr>
                <w:color w:val="000000"/>
                <w:sz w:val="20"/>
                <w:szCs w:val="20"/>
              </w:rPr>
              <w:t xml:space="preserve"> lectures, power-point presentations, consultations, group supervision</w:t>
            </w:r>
          </w:p>
        </w:tc>
      </w:tr>
      <w:tr w:rsidR="00246175" w:rsidTr="000A01DC">
        <w:trPr>
          <w:cantSplit/>
          <w:trHeight w:val="222"/>
          <w:tblHeader/>
          <w:jc w:val="center"/>
        </w:trPr>
        <w:tc>
          <w:tcPr>
            <w:tcW w:w="104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Evaluation of knowledge (maximum number of points 100)</w:t>
            </w:r>
          </w:p>
        </w:tc>
      </w:tr>
      <w:tr w:rsidR="00246175" w:rsidTr="000A01DC">
        <w:trPr>
          <w:cantSplit/>
          <w:trHeight w:val="204"/>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Pre-exam 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0A01DC">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P</w:t>
            </w:r>
            <w:r w:rsidR="00B84F39">
              <w:rPr>
                <w:color w:val="000000"/>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b/>
                <w:color w:val="000000"/>
                <w:sz w:val="20"/>
                <w:szCs w:val="20"/>
              </w:rPr>
              <w:t>Final exam</w:t>
            </w:r>
          </w:p>
        </w:tc>
        <w:tc>
          <w:tcPr>
            <w:tcW w:w="14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Points</w:t>
            </w:r>
          </w:p>
        </w:tc>
      </w:tr>
      <w:tr w:rsidR="00246175" w:rsidTr="000A01DC">
        <w:trPr>
          <w:cantSplit/>
          <w:trHeight w:val="104"/>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B84F39">
            <w:pPr>
              <w:pBdr>
                <w:top w:val="nil"/>
                <w:left w:val="nil"/>
                <w:bottom w:val="nil"/>
                <w:right w:val="nil"/>
                <w:between w:val="nil"/>
              </w:pBdr>
              <w:tabs>
                <w:tab w:val="left" w:pos="567"/>
              </w:tabs>
              <w:rPr>
                <w:color w:val="000000"/>
                <w:sz w:val="20"/>
                <w:szCs w:val="20"/>
              </w:rPr>
            </w:pPr>
            <w:r w:rsidRPr="000A01DC">
              <w:rPr>
                <w:color w:val="000000"/>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Written exam</w:t>
            </w:r>
          </w:p>
        </w:tc>
        <w:tc>
          <w:tcPr>
            <w:tcW w:w="14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246175">
            <w:pPr>
              <w:tabs>
                <w:tab w:val="left" w:pos="567"/>
              </w:tabs>
            </w:pPr>
            <w:bookmarkStart w:id="1" w:name="_heading=h.gd0zss877qdj" w:colFirst="0" w:colLast="0"/>
            <w:bookmarkEnd w:id="1"/>
          </w:p>
        </w:tc>
      </w:tr>
      <w:tr w:rsidR="00246175" w:rsidTr="000A01DC">
        <w:trPr>
          <w:cantSplit/>
          <w:trHeight w:val="275"/>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B84F39">
            <w:pPr>
              <w:pBdr>
                <w:top w:val="nil"/>
                <w:left w:val="nil"/>
                <w:bottom w:val="nil"/>
                <w:right w:val="nil"/>
                <w:between w:val="nil"/>
              </w:pBdr>
              <w:tabs>
                <w:tab w:val="left" w:pos="567"/>
              </w:tabs>
              <w:rPr>
                <w:color w:val="000000"/>
                <w:sz w:val="20"/>
                <w:szCs w:val="20"/>
              </w:rPr>
            </w:pPr>
            <w:r w:rsidRPr="000A01DC">
              <w:rPr>
                <w:color w:val="000000"/>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0A01DC">
            <w:pPr>
              <w:pBdr>
                <w:top w:val="nil"/>
                <w:left w:val="nil"/>
                <w:bottom w:val="nil"/>
                <w:right w:val="nil"/>
                <w:between w:val="nil"/>
              </w:pBdr>
              <w:tabs>
                <w:tab w:val="left" w:pos="567"/>
              </w:tabs>
              <w:rPr>
                <w:rFonts w:eastAsia="Calibri"/>
                <w:color w:val="000000"/>
                <w:sz w:val="20"/>
                <w:szCs w:val="20"/>
              </w:rPr>
            </w:pPr>
            <w:r w:rsidRPr="000A01DC">
              <w:rPr>
                <w:rFonts w:eastAsia="Calibri"/>
                <w:color w:val="000000"/>
                <w:sz w:val="20"/>
                <w:szCs w:val="20"/>
              </w:rPr>
              <w:t>Oral exam</w:t>
            </w:r>
          </w:p>
        </w:tc>
        <w:tc>
          <w:tcPr>
            <w:tcW w:w="14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0A01DC">
            <w:pPr>
              <w:rPr>
                <w:sz w:val="20"/>
                <w:szCs w:val="20"/>
              </w:rPr>
            </w:pPr>
            <w:r w:rsidRPr="000A01DC">
              <w:rPr>
                <w:sz w:val="20"/>
                <w:szCs w:val="20"/>
              </w:rPr>
              <w:t>50</w:t>
            </w:r>
          </w:p>
        </w:tc>
      </w:tr>
      <w:tr w:rsidR="00246175" w:rsidTr="000A01DC">
        <w:trPr>
          <w:cantSplit/>
          <w:trHeight w:val="117"/>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246175">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246175">
            <w:pPr>
              <w:pBdr>
                <w:top w:val="nil"/>
                <w:left w:val="nil"/>
                <w:bottom w:val="nil"/>
                <w:right w:val="nil"/>
                <w:between w:val="nil"/>
              </w:pBdr>
              <w:tabs>
                <w:tab w:val="left" w:pos="567"/>
              </w:tabs>
              <w:rPr>
                <w:rFonts w:ascii="Calibri" w:eastAsia="Calibri" w:hAnsi="Calibri" w:cs="Calibri"/>
                <w:color w:val="000000"/>
                <w:sz w:val="22"/>
                <w:szCs w:val="22"/>
              </w:rPr>
            </w:pPr>
          </w:p>
        </w:tc>
        <w:tc>
          <w:tcPr>
            <w:tcW w:w="14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246175"/>
        </w:tc>
      </w:tr>
      <w:tr w:rsidR="00246175" w:rsidTr="000A01DC">
        <w:trPr>
          <w:cantSplit/>
          <w:trHeight w:val="222"/>
          <w:tblHeader/>
          <w:jc w:val="center"/>
        </w:trPr>
        <w:tc>
          <w:tcPr>
            <w:tcW w:w="4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B84F39">
            <w:pPr>
              <w:pBdr>
                <w:top w:val="nil"/>
                <w:left w:val="nil"/>
                <w:bottom w:val="nil"/>
                <w:right w:val="nil"/>
                <w:between w:val="nil"/>
              </w:pBdr>
              <w:tabs>
                <w:tab w:val="left" w:pos="567"/>
              </w:tabs>
              <w:rPr>
                <w:rFonts w:ascii="Calibri" w:eastAsia="Calibri" w:hAnsi="Calibri" w:cs="Calibri"/>
                <w:color w:val="000000"/>
                <w:sz w:val="22"/>
                <w:szCs w:val="22"/>
              </w:rPr>
            </w:pPr>
            <w:r>
              <w:rPr>
                <w:color w:val="000000"/>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Pr="000A01DC" w:rsidRDefault="00B84F39">
            <w:pPr>
              <w:tabs>
                <w:tab w:val="left" w:pos="567"/>
              </w:tabs>
              <w:rPr>
                <w:sz w:val="20"/>
                <w:szCs w:val="20"/>
              </w:rPr>
            </w:pPr>
            <w:r w:rsidRPr="000A01DC">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246175"/>
        </w:tc>
        <w:tc>
          <w:tcPr>
            <w:tcW w:w="14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6175" w:rsidRDefault="00246175"/>
        </w:tc>
      </w:tr>
    </w:tbl>
    <w:p w:rsidR="00246175" w:rsidRPr="000A01DC" w:rsidRDefault="00246175" w:rsidP="000A01DC">
      <w:pPr>
        <w:widowControl w:val="0"/>
        <w:pBdr>
          <w:top w:val="nil"/>
          <w:left w:val="nil"/>
          <w:bottom w:val="nil"/>
          <w:right w:val="nil"/>
          <w:between w:val="nil"/>
        </w:pBdr>
        <w:rPr>
          <w:rFonts w:eastAsia="Calibri"/>
          <w:color w:val="000000"/>
          <w:sz w:val="20"/>
          <w:szCs w:val="20"/>
        </w:rPr>
      </w:pPr>
    </w:p>
    <w:sectPr w:rsidR="00246175" w:rsidRPr="000A01DC" w:rsidSect="000A01DC">
      <w:pgSz w:w="11900" w:h="16840"/>
      <w:pgMar w:top="720" w:right="720" w:bottom="720" w:left="720" w:header="706" w:footer="706"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Neue">
    <w:altName w:val="Arial"/>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175"/>
    <w:rsid w:val="000A01DC"/>
    <w:rsid w:val="00246175"/>
    <w:rsid w:val="00B84F39"/>
    <w:rsid w:val="00B92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21A67"/>
  <w15:docId w15:val="{439B5946-9142-4963-A1D9-DE0604878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style>
  <w:style w:type="paragraph" w:styleId="Heading1">
    <w:name w:val="heading 1"/>
    <w:basedOn w:val="Normal1"/>
    <w:next w:val="Normal1"/>
    <w:uiPriority w:val="9"/>
    <w:qFormat/>
    <w:rsid w:val="00FC4645"/>
    <w:pPr>
      <w:keepNext/>
      <w:keepLines/>
      <w:spacing w:before="480" w:after="120"/>
      <w:outlineLvl w:val="0"/>
    </w:pPr>
    <w:rPr>
      <w:b/>
      <w:sz w:val="48"/>
      <w:szCs w:val="48"/>
    </w:rPr>
  </w:style>
  <w:style w:type="paragraph" w:styleId="Heading2">
    <w:name w:val="heading 2"/>
    <w:basedOn w:val="Normal1"/>
    <w:next w:val="Normal1"/>
    <w:uiPriority w:val="9"/>
    <w:semiHidden/>
    <w:unhideWhenUsed/>
    <w:qFormat/>
    <w:rsid w:val="00FC4645"/>
    <w:pPr>
      <w:keepNext/>
      <w:keepLines/>
      <w:spacing w:before="360" w:after="80"/>
      <w:outlineLvl w:val="1"/>
    </w:pPr>
    <w:rPr>
      <w:b/>
      <w:sz w:val="36"/>
      <w:szCs w:val="36"/>
    </w:rPr>
  </w:style>
  <w:style w:type="paragraph" w:styleId="Heading3">
    <w:name w:val="heading 3"/>
    <w:basedOn w:val="Normal1"/>
    <w:next w:val="Normal1"/>
    <w:uiPriority w:val="9"/>
    <w:semiHidden/>
    <w:unhideWhenUsed/>
    <w:qFormat/>
    <w:rsid w:val="00FC4645"/>
    <w:pPr>
      <w:keepNext/>
      <w:keepLines/>
      <w:spacing w:before="280" w:after="80"/>
      <w:outlineLvl w:val="2"/>
    </w:pPr>
    <w:rPr>
      <w:b/>
      <w:sz w:val="28"/>
      <w:szCs w:val="28"/>
    </w:rPr>
  </w:style>
  <w:style w:type="paragraph" w:styleId="Heading4">
    <w:name w:val="heading 4"/>
    <w:basedOn w:val="Normal1"/>
    <w:next w:val="Normal1"/>
    <w:uiPriority w:val="9"/>
    <w:semiHidden/>
    <w:unhideWhenUsed/>
    <w:qFormat/>
    <w:rsid w:val="00FC4645"/>
    <w:pPr>
      <w:keepNext/>
      <w:keepLines/>
      <w:spacing w:before="240" w:after="40"/>
      <w:outlineLvl w:val="3"/>
    </w:pPr>
    <w:rPr>
      <w:b/>
    </w:rPr>
  </w:style>
  <w:style w:type="paragraph" w:styleId="Heading5">
    <w:name w:val="heading 5"/>
    <w:basedOn w:val="Normal1"/>
    <w:next w:val="Normal1"/>
    <w:uiPriority w:val="9"/>
    <w:semiHidden/>
    <w:unhideWhenUsed/>
    <w:qFormat/>
    <w:rsid w:val="00FC4645"/>
    <w:pPr>
      <w:keepNext/>
      <w:keepLines/>
      <w:spacing w:before="220" w:after="40"/>
      <w:outlineLvl w:val="4"/>
    </w:pPr>
    <w:rPr>
      <w:b/>
      <w:sz w:val="22"/>
      <w:szCs w:val="22"/>
    </w:rPr>
  </w:style>
  <w:style w:type="paragraph" w:styleId="Heading6">
    <w:name w:val="heading 6"/>
    <w:basedOn w:val="Normal1"/>
    <w:next w:val="Normal1"/>
    <w:uiPriority w:val="9"/>
    <w:semiHidden/>
    <w:unhideWhenUsed/>
    <w:qFormat/>
    <w:rsid w:val="00FC4645"/>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rsid w:val="00FC4645"/>
    <w:pPr>
      <w:keepNext/>
      <w:keepLines/>
      <w:spacing w:before="480" w:after="120"/>
    </w:pPr>
    <w:rPr>
      <w:b/>
      <w:sz w:val="72"/>
      <w:szCs w:val="72"/>
    </w:rPr>
  </w:style>
  <w:style w:type="paragraph" w:customStyle="1" w:styleId="Normal1">
    <w:name w:val="Normal1"/>
    <w:rsid w:val="00FC4645"/>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sid w:val="00FC4645"/>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rsid w:val="00FC4645"/>
    <w:rPr>
      <w:sz w:val="20"/>
      <w:szCs w:val="20"/>
    </w:rPr>
  </w:style>
  <w:style w:type="character" w:customStyle="1" w:styleId="CommentTextChar">
    <w:name w:val="Comment Text Char"/>
    <w:basedOn w:val="DefaultParagraphFont"/>
    <w:link w:val="CommentText"/>
    <w:uiPriority w:val="99"/>
    <w:semiHidden/>
    <w:rsid w:val="00FC4645"/>
    <w:rPr>
      <w:sz w:val="20"/>
      <w:szCs w:val="20"/>
    </w:rPr>
  </w:style>
  <w:style w:type="character" w:styleId="CommentReference">
    <w:name w:val="annotation reference"/>
    <w:basedOn w:val="DefaultParagraphFont"/>
    <w:uiPriority w:val="99"/>
    <w:semiHidden/>
    <w:unhideWhenUsed/>
    <w:rsid w:val="00FC4645"/>
    <w:rPr>
      <w:sz w:val="16"/>
      <w:szCs w:val="16"/>
    </w:rPr>
  </w:style>
  <w:style w:type="paragraph" w:styleId="BalloonText">
    <w:name w:val="Balloon Text"/>
    <w:basedOn w:val="Normal"/>
    <w:link w:val="BalloonTextChar"/>
    <w:uiPriority w:val="99"/>
    <w:semiHidden/>
    <w:unhideWhenUsed/>
    <w:rsid w:val="00C00BA0"/>
    <w:rPr>
      <w:rFonts w:ascii="Tahoma" w:hAnsi="Tahoma" w:cs="Tahoma"/>
      <w:sz w:val="16"/>
      <w:szCs w:val="16"/>
    </w:rPr>
  </w:style>
  <w:style w:type="character" w:customStyle="1" w:styleId="BalloonTextChar">
    <w:name w:val="Balloon Text Char"/>
    <w:basedOn w:val="DefaultParagraphFont"/>
    <w:link w:val="BalloonText"/>
    <w:uiPriority w:val="99"/>
    <w:semiHidden/>
    <w:rsid w:val="00C00BA0"/>
    <w:rPr>
      <w:rFonts w:ascii="Tahoma" w:hAnsi="Tahoma" w:cs="Tahoma"/>
      <w:sz w:val="16"/>
      <w:szCs w:val="16"/>
    </w:r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yv2Ic/vIAfv8+Sp3KwjwJA8lAA==">CgMxLjAyDmguZ2QwenNzODc3cWRqOAByITFYdndUa18tdmxjUEViNmpJbDVkQ2o5ZmotLVpGcldXWQ==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2025-04-09T08:53:00Z</dcterms:created>
  <dcterms:modified xsi:type="dcterms:W3CDTF">2025-04-29T15:07:00Z</dcterms:modified>
</cp:coreProperties>
</file>